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ECA04" w14:textId="4257B2FF" w:rsidR="00E74FE7" w:rsidRDefault="00E74FE7" w:rsidP="00E74FE7">
      <w:pPr>
        <w:widowControl/>
        <w:spacing w:line="312" w:lineRule="atLeast"/>
        <w:jc w:val="center"/>
        <w:rPr>
          <w:rFonts w:ascii="宋体" w:eastAsia="宋体" w:hAnsi="宋体" w:cs="宋体" w:hint="eastAsia"/>
          <w:b/>
          <w:bCs/>
          <w:color w:val="000000"/>
          <w:kern w:val="0"/>
          <w:sz w:val="39"/>
          <w:szCs w:val="39"/>
        </w:rPr>
      </w:pPr>
      <w:r>
        <w:rPr>
          <w:rFonts w:ascii="宋体" w:eastAsia="宋体" w:hAnsi="宋体" w:cs="宋体" w:hint="eastAsia"/>
          <w:b/>
          <w:bCs/>
          <w:color w:val="000000"/>
          <w:kern w:val="0"/>
          <w:sz w:val="39"/>
          <w:szCs w:val="39"/>
        </w:rPr>
        <w:t>2025年中国人民大学国际关系学院国际政治经济学专业在职课程培训班招生简章</w:t>
      </w:r>
    </w:p>
    <w:p w14:paraId="1378C09D" w14:textId="77777777" w:rsidR="00E74FE7" w:rsidRDefault="00E74FE7" w:rsidP="00E74FE7">
      <w:pPr>
        <w:widowControl/>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一、学院及专业优势简介</w:t>
      </w:r>
    </w:p>
    <w:p w14:paraId="1A82139D"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院校介绍</w:t>
      </w:r>
    </w:p>
    <w:p w14:paraId="0B3739F1"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中国人民大学是一所以人文社会科学为主的综合性全国重点大学，在国内教育部全国一级学科评估结果中，中国人民大学共有包括政治学在内的13个一级学科获评A级及以上，在人文社会科学领域位居全国高校第二位。</w:t>
      </w:r>
    </w:p>
    <w:p w14:paraId="60B6861A"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中国人民大学国际关系学院是国内历史悠久、实力雄厚的国内外问题教学与研究机构之一，在政治理论与政府管理、国际事务与外交政策、世界经济等研究领域具有举足轻重的地位，培养的上万名毕业生分布在党政机关与事业单位、知名企业、新闻媒体、研究机构、国际组织等各种单位，涌现出一大批各行业、各领域的高层管理人员和业务骨干。</w:t>
      </w:r>
    </w:p>
    <w:p w14:paraId="55436C16"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我院的突出优势在于跨学科和全球性视野。政治学与经济学之间的跨学科交叉发展以及理论研究与应用研究并驾齐驱，其综合优势是培养视野开阔的复合型人才的重要保证。在完成校内科研和人才培养任务的同时，依托自身的资源优势，提供规范的、高水平的社会培训服务，也是我院综合竞争力的一部分。近20年来，上万名社会各界人士在提升学历和吸收相关专业知识等方面受益于我院的培训项目，形成了良好的社会反响。为适应不断升级的社会需要，我院将对原有课程班进行升级改造，提供靠近国际前沿、紧贴时代脉搏的优质课程和培训服务。</w:t>
      </w:r>
    </w:p>
    <w:p w14:paraId="16965D43"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教学力量</w:t>
      </w:r>
    </w:p>
    <w:p w14:paraId="2184A1F1" w14:textId="77777777" w:rsidR="00E74FE7" w:rsidRDefault="00E74FE7" w:rsidP="00E74FE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hint="eastAsia"/>
          <w:color w:val="444D56"/>
          <w:kern w:val="0"/>
          <w:szCs w:val="21"/>
        </w:rPr>
        <w:t>国际关系学院拥有一支结构合理、力量雄厚的教师队伍。国际关系学院拥有一支结构合理、力量雄厚的教师队伍。学院现有专任教师76人，其中教授36人，副教授26人，讲师14人。其中，海外著名高校博士学位获得者占30%。学院学术队伍的总体规模在全国高校国际问题机构中位居前列。此外，学院还聘请了一批国内外的著名学者担任学院的名誉教授、讲座教授、特聘教授、客座教授和兼职教授。</w:t>
      </w:r>
    </w:p>
    <w:p w14:paraId="784562C7"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为我院课程班授课的教师包括杨光斌、时殷弘、金灿荣、方长平、黄大慧、翟东升、保建云、王义桅、徐之明等一批在国际国内有着广泛影响的学术领军人物及众多青年学术骨干。此外，学院还将邀请政界与商界的一线专家为学员讲授方向课或开办专题讲座。同时，学院还将组织学术工作坊、主题论坛、线上读书会等多种多样的学习活动。</w:t>
      </w:r>
    </w:p>
    <w:p w14:paraId="18EB7065" w14:textId="35E03A04" w:rsidR="00E74FE7" w:rsidRDefault="00E74FE7" w:rsidP="00E74FE7">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lastRenderedPageBreak/>
        <w:t>随着“一带一路”建设的提出与开展，中国在世界上正发挥着越来越重要的作用。中国的政府、企业、媒体、个人应如何看待新时代中国与世界经济发展的内在规律？应如何抓住新时代战略机遇期，以国际化视角操盘个人或机构的投资事业？如何制定国际宏观对冲投资策略？国际金融市场与各国政局变幻对于外汇投资的内在机理是什么？全球经济形势与金融市场存在着怎样的周期性变化？国际化视野下的企业应如何做好跨国投融资与管理？拜登如果顺利入主白宫，中美关系会迎来逆转吗？看懂大国关系与国际博弈，洞悉世界大变局的发展方向，对任何一个奋进于时代洪流中的个体来说都非常重要，因为这决定了一个人的眼光和格局。为此，中国人民大学国际关系学院将依托国内一流的科研与教学力量、汇聚业界智慧，在202</w:t>
      </w:r>
      <w:r>
        <w:rPr>
          <w:rFonts w:ascii="宋体" w:eastAsia="宋体" w:hAnsi="宋体" w:cs="宋体" w:hint="eastAsia"/>
          <w:color w:val="444D56"/>
          <w:kern w:val="0"/>
          <w:szCs w:val="21"/>
        </w:rPr>
        <w:t>5</w:t>
      </w:r>
      <w:r>
        <w:rPr>
          <w:rFonts w:ascii="宋体" w:eastAsia="宋体" w:hAnsi="宋体" w:cs="宋体"/>
          <w:color w:val="444D56"/>
          <w:kern w:val="0"/>
          <w:szCs w:val="21"/>
        </w:rPr>
        <w:t>年开办国际政治经济学专业课程班</w:t>
      </w:r>
      <w:r>
        <w:rPr>
          <w:rFonts w:ascii="宋体" w:eastAsia="宋体" w:hAnsi="宋体" w:cs="宋体" w:hint="eastAsia"/>
          <w:color w:val="444D56"/>
          <w:kern w:val="0"/>
          <w:szCs w:val="21"/>
        </w:rPr>
        <w:t>（在职课程培训班简称在职课程班，即原“课程研修班”）。</w:t>
      </w:r>
    </w:p>
    <w:p w14:paraId="1B438F29" w14:textId="77777777" w:rsidR="00E74FE7" w:rsidRDefault="00E74FE7" w:rsidP="00E74FE7">
      <w:pPr>
        <w:widowControl/>
        <w:spacing w:before="100" w:beforeAutospacing="1" w:after="100" w:afterAutospacing="1" w:line="384"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二、课程安排</w:t>
      </w:r>
    </w:p>
    <w:p w14:paraId="09D7E1C7"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hint="eastAsia"/>
          <w:color w:val="444D56"/>
          <w:kern w:val="0"/>
          <w:szCs w:val="21"/>
        </w:rPr>
        <w:t>新时代</w:t>
      </w:r>
      <w:r>
        <w:rPr>
          <w:rFonts w:ascii="宋体" w:eastAsia="宋体" w:hAnsi="宋体" w:cs="宋体"/>
          <w:color w:val="444D56"/>
          <w:kern w:val="0"/>
          <w:szCs w:val="21"/>
        </w:rPr>
        <w:t>中国特色社会主义理论与实践</w:t>
      </w:r>
    </w:p>
    <w:p w14:paraId="39FD4684"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现当代国际关系史</w:t>
      </w:r>
    </w:p>
    <w:p w14:paraId="44870AC6"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国际与比较政治经济学研究</w:t>
      </w:r>
    </w:p>
    <w:p w14:paraId="0BB51916"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货币与金融的政治经济学</w:t>
      </w:r>
    </w:p>
    <w:p w14:paraId="3D901B96"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自然辩证法概论</w:t>
      </w:r>
    </w:p>
    <w:p w14:paraId="5C7F24FA"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语言基础</w:t>
      </w:r>
    </w:p>
    <w:p w14:paraId="14BA82B5"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学术规范和论文写作</w:t>
      </w:r>
    </w:p>
    <w:p w14:paraId="52352535"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政治学博弈论</w:t>
      </w:r>
    </w:p>
    <w:p w14:paraId="5BE138B8"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国际关系的制度分析方法</w:t>
      </w:r>
    </w:p>
    <w:p w14:paraId="6A49DC35"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产业发展的政治经济学</w:t>
      </w:r>
    </w:p>
    <w:p w14:paraId="2E91D6A4"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国际经济学</w:t>
      </w:r>
    </w:p>
    <w:p w14:paraId="2BE40EF2"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国际政治经济学专业文献导读</w:t>
      </w:r>
    </w:p>
    <w:p w14:paraId="671E2AAF"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hint="eastAsia"/>
          <w:color w:val="444D56"/>
          <w:kern w:val="0"/>
          <w:szCs w:val="21"/>
        </w:rPr>
        <w:t>中国经济外交分析</w:t>
      </w:r>
    </w:p>
    <w:p w14:paraId="0B587470"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能源与环境政治经济学</w:t>
      </w:r>
    </w:p>
    <w:p w14:paraId="5B779FA3"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lastRenderedPageBreak/>
        <w:t>科技革命与世界政治经济</w:t>
      </w:r>
    </w:p>
    <w:p w14:paraId="17341DD6"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国际礼仪与文化</w:t>
      </w:r>
    </w:p>
    <w:p w14:paraId="45696A9E"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全球周期分析</w:t>
      </w:r>
    </w:p>
    <w:p w14:paraId="782BFAFF"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在该专业下</w:t>
      </w:r>
    </w:p>
    <w:p w14:paraId="4A491367" w14:textId="1678968B" w:rsidR="00E74FE7" w:rsidRDefault="00E74FE7" w:rsidP="00E74FE7">
      <w:pPr>
        <w:widowControl/>
        <w:spacing w:before="100" w:beforeAutospacing="1" w:after="100" w:afterAutospacing="1" w:line="384" w:lineRule="atLeast"/>
        <w:jc w:val="left"/>
        <w:rPr>
          <w:rFonts w:ascii="宋体" w:eastAsia="宋体" w:hAnsi="宋体" w:cs="宋体" w:hint="eastAsia"/>
          <w:b/>
          <w:bCs/>
          <w:color w:val="444D56"/>
          <w:kern w:val="0"/>
          <w:szCs w:val="21"/>
        </w:rPr>
      </w:pPr>
      <w:r w:rsidRPr="00D10653">
        <w:rPr>
          <w:rFonts w:ascii="宋体" w:eastAsia="宋体" w:hAnsi="宋体" w:cs="宋体"/>
          <w:b/>
          <w:bCs/>
          <w:color w:val="444D56"/>
          <w:kern w:val="0"/>
          <w:szCs w:val="21"/>
        </w:rPr>
        <w:t>我院还将于202</w:t>
      </w:r>
      <w:r w:rsidR="003E0C34">
        <w:rPr>
          <w:rFonts w:ascii="宋体" w:eastAsia="宋体" w:hAnsi="宋体" w:cs="宋体" w:hint="eastAsia"/>
          <w:b/>
          <w:bCs/>
          <w:color w:val="444D56"/>
          <w:kern w:val="0"/>
          <w:szCs w:val="21"/>
        </w:rPr>
        <w:t>5</w:t>
      </w:r>
      <w:r w:rsidRPr="00D10653">
        <w:rPr>
          <w:rFonts w:ascii="宋体" w:eastAsia="宋体" w:hAnsi="宋体" w:cs="宋体"/>
          <w:b/>
          <w:bCs/>
          <w:color w:val="444D56"/>
          <w:kern w:val="0"/>
          <w:szCs w:val="21"/>
        </w:rPr>
        <w:t>年拟开设方向课如下：</w:t>
      </w:r>
    </w:p>
    <w:p w14:paraId="09202D3D" w14:textId="3630EC1D" w:rsidR="003E0C34" w:rsidRDefault="003E0C34" w:rsidP="00E74FE7">
      <w:pPr>
        <w:widowControl/>
        <w:spacing w:before="100" w:beforeAutospacing="1" w:after="100" w:afterAutospacing="1" w:line="384" w:lineRule="atLeast"/>
        <w:jc w:val="left"/>
        <w:rPr>
          <w:rFonts w:ascii="宋体" w:eastAsia="宋体" w:hAnsi="宋体" w:cs="宋体" w:hint="eastAsia"/>
          <w:b/>
          <w:bCs/>
          <w:color w:val="444D56"/>
          <w:kern w:val="0"/>
          <w:szCs w:val="21"/>
        </w:rPr>
      </w:pPr>
      <w:r>
        <w:rPr>
          <w:rFonts w:ascii="宋体" w:eastAsia="宋体" w:hAnsi="宋体" w:cs="宋体" w:hint="eastAsia"/>
          <w:b/>
          <w:bCs/>
          <w:color w:val="444D56"/>
          <w:kern w:val="0"/>
          <w:szCs w:val="21"/>
        </w:rPr>
        <w:t>区域国别研究方向</w:t>
      </w:r>
    </w:p>
    <w:p w14:paraId="39804C2C" w14:textId="65616EC1" w:rsidR="003E0C34" w:rsidRPr="003E0C34" w:rsidRDefault="003E0C34"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sidRPr="003E0C34">
        <w:rPr>
          <w:rFonts w:ascii="宋体" w:eastAsia="宋体" w:hAnsi="宋体" w:cs="宋体" w:hint="eastAsia"/>
          <w:color w:val="444D56"/>
          <w:kern w:val="0"/>
          <w:szCs w:val="21"/>
        </w:rPr>
        <w:t>欧洲研究</w:t>
      </w:r>
    </w:p>
    <w:p w14:paraId="49313034" w14:textId="1CDDBB47" w:rsidR="003E0C34" w:rsidRPr="003E0C34" w:rsidRDefault="003E0C34"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sidRPr="003E0C34">
        <w:rPr>
          <w:rFonts w:ascii="宋体" w:eastAsia="宋体" w:hAnsi="宋体" w:cs="宋体" w:hint="eastAsia"/>
          <w:color w:val="444D56"/>
          <w:kern w:val="0"/>
          <w:szCs w:val="21"/>
        </w:rPr>
        <w:t>欧亚研究</w:t>
      </w:r>
    </w:p>
    <w:p w14:paraId="4C660DF2" w14:textId="4B36DC33" w:rsidR="003E0C34" w:rsidRPr="003E0C34" w:rsidRDefault="003E0C34"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sidRPr="003E0C34">
        <w:rPr>
          <w:rFonts w:ascii="宋体" w:eastAsia="宋体" w:hAnsi="宋体" w:cs="宋体" w:hint="eastAsia"/>
          <w:color w:val="444D56"/>
          <w:kern w:val="0"/>
          <w:szCs w:val="21"/>
        </w:rPr>
        <w:t>美国研究</w:t>
      </w:r>
    </w:p>
    <w:p w14:paraId="2FCAD4CC" w14:textId="5B3EDEBA" w:rsidR="003E0C34" w:rsidRPr="003E0C34" w:rsidRDefault="003E0C34"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sidRPr="003E0C34">
        <w:rPr>
          <w:rFonts w:ascii="宋体" w:eastAsia="宋体" w:hAnsi="宋体" w:cs="宋体" w:hint="eastAsia"/>
          <w:color w:val="444D56"/>
          <w:kern w:val="0"/>
          <w:szCs w:val="21"/>
        </w:rPr>
        <w:t>亚太研究</w:t>
      </w:r>
    </w:p>
    <w:p w14:paraId="707A3F8A"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“一带一路”与国际政治经济学方向</w:t>
      </w:r>
    </w:p>
    <w:p w14:paraId="1CE48B45"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“一带一路”政策发展与现状</w:t>
      </w:r>
    </w:p>
    <w:p w14:paraId="06BF8C8B"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“一带一路”沿线主要国家风险</w:t>
      </w:r>
    </w:p>
    <w:p w14:paraId="7D7F65FE"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“一带一路”与中美关系</w:t>
      </w:r>
    </w:p>
    <w:p w14:paraId="1B78B5A4"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“一带一路”与国际文化传播</w:t>
      </w:r>
    </w:p>
    <w:p w14:paraId="00DD0B81"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国际文创策划与投融资方向</w:t>
      </w:r>
    </w:p>
    <w:p w14:paraId="3B0F0CCF"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新媒体创新与投资</w:t>
      </w:r>
    </w:p>
    <w:p w14:paraId="4B6B3CD6"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二次元文化品牌定位与投资机遇</w:t>
      </w:r>
    </w:p>
    <w:p w14:paraId="6C09C8AA"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IP运营与影视项目管理</w:t>
      </w:r>
    </w:p>
    <w:p w14:paraId="4E640350"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影视项目投融资实务</w:t>
      </w:r>
    </w:p>
    <w:p w14:paraId="6DE00115"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跨国企业管理方向</w:t>
      </w:r>
    </w:p>
    <w:p w14:paraId="4596677B"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lastRenderedPageBreak/>
        <w:t>海外经贸活动安全实务</w:t>
      </w:r>
    </w:p>
    <w:p w14:paraId="360CC668"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企业对外投资与风险管理</w:t>
      </w:r>
    </w:p>
    <w:p w14:paraId="23244CC3"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公关传播与危机管理</w:t>
      </w:r>
    </w:p>
    <w:p w14:paraId="42A1AB88"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企业战略决策</w:t>
      </w:r>
    </w:p>
    <w:p w14:paraId="4F3E6050"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hint="eastAsia"/>
          <w:color w:val="444D56"/>
          <w:kern w:val="0"/>
          <w:szCs w:val="21"/>
        </w:rPr>
        <w:t>中国边界与海洋权益</w:t>
      </w:r>
    </w:p>
    <w:p w14:paraId="2701CA16" w14:textId="77777777" w:rsidR="00E74FE7" w:rsidRDefault="00E74FE7" w:rsidP="00E74FE7">
      <w:pPr>
        <w:widowControl/>
        <w:spacing w:before="100" w:beforeAutospacing="1" w:after="100" w:afterAutospacing="1" w:line="384"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（具体安排以实际授课情况为准）</w:t>
      </w:r>
    </w:p>
    <w:p w14:paraId="0AB26C7C"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p>
    <w:p w14:paraId="79F89740" w14:textId="77777777" w:rsidR="00E74FE7" w:rsidRDefault="00E74FE7" w:rsidP="00E74FE7">
      <w:pPr>
        <w:widowControl/>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三、教学办法</w:t>
      </w:r>
    </w:p>
    <w:p w14:paraId="50CF7A05"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每专业约十七门课程，采取面授与自学相结合的方式，课程结业形式为提交论文。</w:t>
      </w:r>
    </w:p>
    <w:p w14:paraId="4288F0C0"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p>
    <w:p w14:paraId="1A88D4E9" w14:textId="77777777" w:rsidR="00E74FE7" w:rsidRDefault="00E74FE7" w:rsidP="00E74FE7">
      <w:pPr>
        <w:widowControl/>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四、学习期限</w:t>
      </w:r>
    </w:p>
    <w:p w14:paraId="15FAAD97" w14:textId="3D21CF92" w:rsidR="00F937A3" w:rsidRPr="00F937A3" w:rsidRDefault="00F937A3" w:rsidP="00F937A3">
      <w:pPr>
        <w:widowControl/>
        <w:spacing w:before="100" w:beforeAutospacing="1" w:after="100" w:afterAutospacing="1" w:line="384" w:lineRule="atLeast"/>
        <w:jc w:val="left"/>
        <w:rPr>
          <w:rFonts w:ascii="宋体" w:eastAsia="宋体" w:hAnsi="宋体" w:cs="宋体" w:hint="eastAsia"/>
          <w:color w:val="444D56"/>
          <w:kern w:val="0"/>
          <w:szCs w:val="21"/>
        </w:rPr>
      </w:pPr>
      <w:r w:rsidRPr="00F937A3">
        <w:rPr>
          <w:rFonts w:ascii="宋体" w:eastAsia="宋体" w:hAnsi="宋体" w:cs="宋体" w:hint="eastAsia"/>
          <w:color w:val="444D56"/>
          <w:kern w:val="0"/>
          <w:szCs w:val="21"/>
        </w:rPr>
        <w:t>（一）学习周期：课程班学习周期2年。</w:t>
      </w:r>
    </w:p>
    <w:p w14:paraId="4CE238A5" w14:textId="77777777" w:rsidR="00F937A3" w:rsidRPr="00F937A3" w:rsidRDefault="00F937A3" w:rsidP="00F937A3">
      <w:pPr>
        <w:widowControl/>
        <w:spacing w:before="100" w:beforeAutospacing="1" w:after="100" w:afterAutospacing="1" w:line="384" w:lineRule="atLeast"/>
        <w:jc w:val="left"/>
        <w:rPr>
          <w:rFonts w:ascii="宋体" w:eastAsia="宋体" w:hAnsi="宋体" w:cs="宋体" w:hint="eastAsia"/>
          <w:color w:val="444D56"/>
          <w:kern w:val="0"/>
          <w:szCs w:val="21"/>
        </w:rPr>
      </w:pPr>
      <w:r w:rsidRPr="00F937A3">
        <w:rPr>
          <w:rFonts w:ascii="宋体" w:eastAsia="宋体" w:hAnsi="宋体" w:cs="宋体" w:hint="eastAsia"/>
          <w:color w:val="444D56"/>
          <w:kern w:val="0"/>
          <w:szCs w:val="21"/>
        </w:rPr>
        <w:t>（二）上课时间：周末在京上课，原则上每月上课2-4天，隔周周末。</w:t>
      </w:r>
    </w:p>
    <w:p w14:paraId="35D55B1A" w14:textId="1B378CD0" w:rsidR="00F937A3" w:rsidRPr="00F937A3" w:rsidRDefault="00F937A3" w:rsidP="00F937A3">
      <w:pPr>
        <w:widowControl/>
        <w:spacing w:before="100" w:beforeAutospacing="1" w:after="100" w:afterAutospacing="1" w:line="384" w:lineRule="atLeast"/>
        <w:jc w:val="left"/>
        <w:rPr>
          <w:rFonts w:ascii="宋体" w:eastAsia="宋体" w:hAnsi="宋体" w:cs="宋体" w:hint="eastAsia"/>
          <w:color w:val="444D56"/>
          <w:kern w:val="0"/>
          <w:szCs w:val="21"/>
        </w:rPr>
      </w:pPr>
      <w:r w:rsidRPr="00F937A3">
        <w:rPr>
          <w:rFonts w:ascii="宋体" w:eastAsia="宋体" w:hAnsi="宋体" w:cs="宋体" w:hint="eastAsia"/>
          <w:color w:val="444D56"/>
          <w:kern w:val="0"/>
          <w:szCs w:val="21"/>
        </w:rPr>
        <w:t>（面向全国招生，大部分课程支持线上线下同步学习。如有团体学员希望集中授课或外地授课，需向学院提交申请，经学校主管部门审批后方可实施）</w:t>
      </w:r>
    </w:p>
    <w:p w14:paraId="6A759627" w14:textId="5514D4E1" w:rsidR="00E74FE7" w:rsidRDefault="00F937A3" w:rsidP="00F937A3">
      <w:pPr>
        <w:widowControl/>
        <w:spacing w:before="100" w:beforeAutospacing="1" w:after="100" w:afterAutospacing="1" w:line="384" w:lineRule="atLeast"/>
        <w:jc w:val="left"/>
        <w:rPr>
          <w:rFonts w:ascii="宋体" w:eastAsia="宋体" w:hAnsi="宋体" w:cs="宋体" w:hint="eastAsia"/>
          <w:color w:val="444D56"/>
          <w:kern w:val="0"/>
          <w:szCs w:val="21"/>
        </w:rPr>
      </w:pPr>
      <w:r w:rsidRPr="00F937A3">
        <w:rPr>
          <w:rFonts w:ascii="宋体" w:eastAsia="宋体" w:hAnsi="宋体" w:cs="宋体" w:hint="eastAsia"/>
          <w:color w:val="444D56"/>
          <w:kern w:val="0"/>
          <w:szCs w:val="21"/>
        </w:rPr>
        <w:t>（三）开学时间：2025年6月，每期六个专业共招收80人以内。</w:t>
      </w:r>
    </w:p>
    <w:p w14:paraId="3C0E48F5" w14:textId="77777777" w:rsidR="00E74FE7" w:rsidRDefault="00E74FE7" w:rsidP="00E74FE7">
      <w:pPr>
        <w:widowControl/>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五、报名条件</w:t>
      </w:r>
    </w:p>
    <w:p w14:paraId="0B11C356"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具备本科及以上学历者，均可报名参加课程班学习。由中国人民大学国际关系学院负责资格审查。</w:t>
      </w:r>
    </w:p>
    <w:p w14:paraId="437F7609"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p>
    <w:p w14:paraId="0BE00F2A" w14:textId="77777777" w:rsidR="00E74FE7" w:rsidRDefault="00E74FE7" w:rsidP="00E74FE7">
      <w:pPr>
        <w:widowControl/>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六、报名流程和联系方式</w:t>
      </w:r>
    </w:p>
    <w:p w14:paraId="2DB27435"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lastRenderedPageBreak/>
        <w:t>（一）报名资料</w:t>
      </w:r>
    </w:p>
    <w:p w14:paraId="3220E6B4"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1. 填写课程班报名表；</w:t>
      </w:r>
    </w:p>
    <w:p w14:paraId="333F4BE0"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2. 交验本人最后学历证书、学位证书、身份证复印件；</w:t>
      </w:r>
    </w:p>
    <w:p w14:paraId="1E4EAAF7"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3. 交一寸白底照片三张，二寸白底照片两张（备注姓名）。</w:t>
      </w:r>
    </w:p>
    <w:p w14:paraId="4B01905C"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（二）咨询电话</w:t>
      </w:r>
    </w:p>
    <w:p w14:paraId="160BEFF8"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宋老师：010-62511295 13126935021（微信同）</w:t>
      </w:r>
    </w:p>
    <w:p w14:paraId="6301A8B3"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办公地址：中国人民大学明德国际楼820室</w:t>
      </w:r>
    </w:p>
    <w:p w14:paraId="51B1D04A"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      上班时间：工作日9:00-17:00</w:t>
      </w:r>
    </w:p>
    <w:p w14:paraId="2D908AFD"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p>
    <w:p w14:paraId="1D30D92A" w14:textId="77777777" w:rsidR="00E74FE7" w:rsidRDefault="00E74FE7" w:rsidP="00E74FE7">
      <w:pPr>
        <w:widowControl/>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七、收费标准</w:t>
      </w:r>
    </w:p>
    <w:p w14:paraId="7607DE25"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培训费标准为38000元/人。书费、资料费自理。培训费一次性交清。</w:t>
      </w:r>
    </w:p>
    <w:p w14:paraId="26E232FF"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p>
    <w:p w14:paraId="4ECB165C" w14:textId="77777777" w:rsidR="00E74FE7" w:rsidRDefault="00E74FE7" w:rsidP="00E74FE7">
      <w:pPr>
        <w:widowControl/>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八、收费方式</w:t>
      </w:r>
    </w:p>
    <w:p w14:paraId="6025AA53" w14:textId="77777777" w:rsidR="00E74FE7" w:rsidRDefault="00E74FE7" w:rsidP="00E74FE7">
      <w:pPr>
        <w:widowControl/>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（一）个人账户缴费：点击“人大培训网”发布简章的缴费链接，通过学校电子收费系统缴费。 （收费地址：</w:t>
      </w:r>
      <w:r>
        <w:rPr>
          <w:rFonts w:ascii="宋体" w:eastAsia="宋体" w:hAnsi="宋体" w:cs="宋体"/>
          <w:color w:val="409EFF"/>
          <w:kern w:val="0"/>
          <w:szCs w:val="21"/>
        </w:rPr>
        <w:t>http://feefo.ruc.edu.cn/xysf/bmface.do?rid=51776b437053787731734f6a59304766364e3034564f376c4e75626470514b4970596e5778733741345748454e766349616c345859773d3d&amp;type=2</w:t>
      </w:r>
      <w:r>
        <w:rPr>
          <w:rFonts w:ascii="宋体" w:eastAsia="宋体" w:hAnsi="宋体" w:cs="宋体"/>
          <w:color w:val="444D56"/>
          <w:kern w:val="0"/>
          <w:szCs w:val="21"/>
        </w:rPr>
        <w:t>）</w:t>
      </w:r>
    </w:p>
    <w:p w14:paraId="2004295E" w14:textId="77777777" w:rsidR="00E74FE7" w:rsidRDefault="00E74FE7" w:rsidP="00E74FE7">
      <w:pPr>
        <w:widowControl/>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学员通过点击简章页面发布的“报名缴费”按钮，可直接打开“中国人民大学通用收费系统”中该课程班的对应收费页面，注册并填报个人身份信息和票据信息后，通过系统缴费。</w:t>
      </w:r>
    </w:p>
    <w:p w14:paraId="5AB3AE40" w14:textId="77777777" w:rsidR="00E74FE7" w:rsidRDefault="00E74FE7" w:rsidP="00E74FE7">
      <w:pPr>
        <w:widowControl/>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郑重提醒：学员如果遇到招生人员以参加本课程培训班为由，要求学员缴纳任何公示培训费之外的费用，可向学校有关部门举报违规行为。举报电话：010-82507931。</w:t>
      </w:r>
    </w:p>
    <w:p w14:paraId="3A30A272" w14:textId="77777777" w:rsidR="00E74FE7" w:rsidRDefault="00E74FE7" w:rsidP="00E74FE7">
      <w:pPr>
        <w:widowControl/>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（二）单位账户缴费：通过单位银行账户办理银行汇款缴费。</w:t>
      </w:r>
    </w:p>
    <w:p w14:paraId="76D4B70B" w14:textId="77777777" w:rsidR="00E74FE7" w:rsidRDefault="00E74FE7" w:rsidP="00E74FE7">
      <w:pPr>
        <w:widowControl/>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lastRenderedPageBreak/>
        <w:t>户  名：中国人民大学</w:t>
      </w:r>
    </w:p>
    <w:p w14:paraId="597F13B6" w14:textId="77777777" w:rsidR="00E74FE7" w:rsidRDefault="00E74FE7" w:rsidP="00E74FE7">
      <w:pPr>
        <w:widowControl/>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开户行：中国工商银行北京紫竹院支行</w:t>
      </w:r>
    </w:p>
    <w:p w14:paraId="7B240A8D" w14:textId="77777777" w:rsidR="00E74FE7" w:rsidRDefault="00E74FE7" w:rsidP="00E74FE7">
      <w:pPr>
        <w:widowControl/>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帐  号：0200 0076 0902 6400 244</w:t>
      </w:r>
    </w:p>
    <w:p w14:paraId="30B5B078" w14:textId="5240963C" w:rsidR="00E74FE7" w:rsidRDefault="00E74FE7" w:rsidP="00E74FE7">
      <w:pPr>
        <w:widowControl/>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特别说明：汇款时“收款人（单位）”一栏均只填“中国人民大学”六字，在“用途/摘要”栏里填上“ 国际关系学院202</w:t>
      </w:r>
      <w:r>
        <w:rPr>
          <w:rFonts w:ascii="宋体" w:eastAsia="宋体" w:hAnsi="宋体" w:cs="宋体" w:hint="eastAsia"/>
          <w:color w:val="444D56"/>
          <w:kern w:val="0"/>
          <w:szCs w:val="21"/>
        </w:rPr>
        <w:t>5</w:t>
      </w:r>
      <w:r>
        <w:rPr>
          <w:rFonts w:ascii="宋体" w:eastAsia="宋体" w:hAnsi="宋体" w:cs="宋体"/>
          <w:color w:val="444D56"/>
          <w:kern w:val="0"/>
          <w:szCs w:val="21"/>
        </w:rPr>
        <w:t>年中国人民大学国际关系学院国际政治经济学专业在职课程培训班（北京 自办 春季班）课程XXX(学员姓名)培训费”，汇款后请将银行汇款凭单提交至 国际关系学院有关负责老师处确认。</w:t>
      </w:r>
    </w:p>
    <w:p w14:paraId="453FBF24"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p>
    <w:p w14:paraId="39948FDC" w14:textId="77777777" w:rsidR="00E74FE7" w:rsidRDefault="00E74FE7" w:rsidP="00E74FE7">
      <w:pPr>
        <w:widowControl/>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九、证书</w:t>
      </w:r>
    </w:p>
    <w:p w14:paraId="135FC537" w14:textId="77777777" w:rsidR="00E74FE7" w:rsidRDefault="00E74FE7" w:rsidP="00E74FE7">
      <w:pPr>
        <w:widowControl/>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学员修完全部课程并通过学院考核，由中国人民大学继续教育处颁发结业证书。</w:t>
      </w:r>
    </w:p>
    <w:p w14:paraId="5C1D7DBC" w14:textId="77777777" w:rsidR="00E74FE7" w:rsidRDefault="00E74FE7" w:rsidP="00E74FE7">
      <w:pPr>
        <w:rPr>
          <w:rFonts w:hint="eastAsia"/>
        </w:rPr>
      </w:pPr>
      <w:r>
        <w:rPr>
          <w:rFonts w:hint="eastAsia"/>
        </w:rPr>
        <w:t>注：参加本在职课程班项目</w:t>
      </w:r>
    </w:p>
    <w:p w14:paraId="726D7C52" w14:textId="77777777" w:rsidR="00E74FE7" w:rsidRDefault="00E74FE7" w:rsidP="00E74FE7">
      <w:pPr>
        <w:rPr>
          <w:rFonts w:hint="eastAsia"/>
        </w:rPr>
      </w:pPr>
      <w:r>
        <w:rPr>
          <w:rFonts w:hint="eastAsia"/>
        </w:rPr>
        <w:t>并非申请硕士学位的必要条件</w:t>
      </w:r>
    </w:p>
    <w:p w14:paraId="6ED168D6" w14:textId="77777777" w:rsidR="00096CEB" w:rsidRPr="00E74FE7" w:rsidRDefault="00096CEB">
      <w:pPr>
        <w:rPr>
          <w:rFonts w:hint="eastAsia"/>
        </w:rPr>
      </w:pPr>
    </w:p>
    <w:sectPr w:rsidR="00096CEB" w:rsidRPr="00E74F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FDEF0" w14:textId="77777777" w:rsidR="00306FEF" w:rsidRDefault="00306FEF" w:rsidP="00E74FE7">
      <w:pPr>
        <w:rPr>
          <w:rFonts w:hint="eastAsia"/>
        </w:rPr>
      </w:pPr>
      <w:r>
        <w:separator/>
      </w:r>
    </w:p>
  </w:endnote>
  <w:endnote w:type="continuationSeparator" w:id="0">
    <w:p w14:paraId="09146B1F" w14:textId="77777777" w:rsidR="00306FEF" w:rsidRDefault="00306FEF" w:rsidP="00E74FE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BDF5C" w14:textId="77777777" w:rsidR="00306FEF" w:rsidRDefault="00306FEF" w:rsidP="00E74FE7">
      <w:pPr>
        <w:rPr>
          <w:rFonts w:hint="eastAsia"/>
        </w:rPr>
      </w:pPr>
      <w:r>
        <w:separator/>
      </w:r>
    </w:p>
  </w:footnote>
  <w:footnote w:type="continuationSeparator" w:id="0">
    <w:p w14:paraId="1AAA6B7F" w14:textId="77777777" w:rsidR="00306FEF" w:rsidRDefault="00306FEF" w:rsidP="00E74FE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93"/>
    <w:rsid w:val="00042903"/>
    <w:rsid w:val="00096CEB"/>
    <w:rsid w:val="001372B6"/>
    <w:rsid w:val="00213F59"/>
    <w:rsid w:val="00306FEF"/>
    <w:rsid w:val="003E0C34"/>
    <w:rsid w:val="003E7C5B"/>
    <w:rsid w:val="00431CD6"/>
    <w:rsid w:val="00517366"/>
    <w:rsid w:val="0063132E"/>
    <w:rsid w:val="006F0E5B"/>
    <w:rsid w:val="006F1451"/>
    <w:rsid w:val="008C59C8"/>
    <w:rsid w:val="008D7711"/>
    <w:rsid w:val="009C00D4"/>
    <w:rsid w:val="00AE5D93"/>
    <w:rsid w:val="00B62798"/>
    <w:rsid w:val="00CA3D9B"/>
    <w:rsid w:val="00CC0AD3"/>
    <w:rsid w:val="00D10653"/>
    <w:rsid w:val="00D876CE"/>
    <w:rsid w:val="00E74FE7"/>
    <w:rsid w:val="00F93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9A2CA"/>
  <w15:chartTrackingRefBased/>
  <w15:docId w15:val="{A2328658-BEC7-4E2C-8453-D944DD87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FE7"/>
    <w:pPr>
      <w:widowControl w:val="0"/>
      <w:spacing w:after="0" w:line="240" w:lineRule="auto"/>
      <w:jc w:val="both"/>
    </w:pPr>
    <w:rPr>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FE7"/>
    <w:pPr>
      <w:tabs>
        <w:tab w:val="center" w:pos="4153"/>
        <w:tab w:val="right" w:pos="8306"/>
      </w:tabs>
      <w:snapToGrid w:val="0"/>
      <w:spacing w:after="160"/>
      <w:jc w:val="center"/>
    </w:pPr>
    <w:rPr>
      <w:sz w:val="18"/>
      <w:szCs w:val="18"/>
      <w14:ligatures w14:val="standardContextual"/>
    </w:rPr>
  </w:style>
  <w:style w:type="character" w:customStyle="1" w:styleId="a4">
    <w:name w:val="页眉 字符"/>
    <w:basedOn w:val="a0"/>
    <w:link w:val="a3"/>
    <w:uiPriority w:val="99"/>
    <w:rsid w:val="00E74FE7"/>
    <w:rPr>
      <w:sz w:val="18"/>
      <w:szCs w:val="18"/>
    </w:rPr>
  </w:style>
  <w:style w:type="paragraph" w:styleId="a5">
    <w:name w:val="footer"/>
    <w:basedOn w:val="a"/>
    <w:link w:val="a6"/>
    <w:uiPriority w:val="99"/>
    <w:unhideWhenUsed/>
    <w:rsid w:val="00E74FE7"/>
    <w:pPr>
      <w:tabs>
        <w:tab w:val="center" w:pos="4153"/>
        <w:tab w:val="right" w:pos="8306"/>
      </w:tabs>
      <w:snapToGrid w:val="0"/>
      <w:spacing w:after="160"/>
      <w:jc w:val="left"/>
    </w:pPr>
    <w:rPr>
      <w:sz w:val="18"/>
      <w:szCs w:val="18"/>
      <w14:ligatures w14:val="standardContextual"/>
    </w:rPr>
  </w:style>
  <w:style w:type="character" w:customStyle="1" w:styleId="a6">
    <w:name w:val="页脚 字符"/>
    <w:basedOn w:val="a0"/>
    <w:link w:val="a5"/>
    <w:uiPriority w:val="99"/>
    <w:rsid w:val="00E74F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xinyi zhong</dc:creator>
  <cp:keywords/>
  <dc:description/>
  <cp:lastModifiedBy>明瑞 邵</cp:lastModifiedBy>
  <cp:revision>6</cp:revision>
  <dcterms:created xsi:type="dcterms:W3CDTF">2024-11-12T01:11:00Z</dcterms:created>
  <dcterms:modified xsi:type="dcterms:W3CDTF">2025-01-06T03:39:00Z</dcterms:modified>
</cp:coreProperties>
</file>